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A73" w:rsidRDefault="00A74A73" w:rsidP="00A74A73">
      <w:pPr>
        <w:pStyle w:val="a3"/>
        <w:spacing w:before="0" w:beforeAutospacing="0" w:after="0" w:afterAutospacing="0"/>
        <w:jc w:val="center"/>
        <w:rPr>
          <w:rFonts w:ascii="Verdana" w:hAnsi="Verdana"/>
          <w:color w:val="000000"/>
          <w:sz w:val="16"/>
          <w:szCs w:val="16"/>
        </w:rPr>
      </w:pPr>
      <w:r>
        <w:rPr>
          <w:rFonts w:ascii="Verdana" w:hAnsi="Verdana"/>
          <w:b/>
          <w:bCs/>
          <w:color w:val="000000"/>
          <w:sz w:val="16"/>
          <w:szCs w:val="16"/>
        </w:rPr>
        <w:t> </w:t>
      </w:r>
    </w:p>
    <w:p w:rsidR="00A74A73" w:rsidRDefault="00A74A73" w:rsidP="00A74A73">
      <w:pPr>
        <w:pStyle w:val="a3"/>
        <w:spacing w:before="0" w:beforeAutospacing="0" w:after="0" w:afterAutospacing="0"/>
        <w:jc w:val="center"/>
        <w:rPr>
          <w:rFonts w:ascii="Verdana" w:hAnsi="Verdana"/>
          <w:color w:val="000000"/>
          <w:sz w:val="16"/>
          <w:szCs w:val="16"/>
        </w:rPr>
      </w:pPr>
      <w:r>
        <w:rPr>
          <w:rFonts w:ascii="Verdana" w:hAnsi="Verdana"/>
          <w:b/>
          <w:bCs/>
          <w:color w:val="000000"/>
          <w:sz w:val="16"/>
          <w:szCs w:val="16"/>
        </w:rPr>
        <w:t>  РЕСПУБЛИКА             ИНГУШЕТИЯ</w:t>
      </w:r>
    </w:p>
    <w:p w:rsidR="00A74A73" w:rsidRDefault="00A74A73" w:rsidP="00A74A73">
      <w:pPr>
        <w:pStyle w:val="a3"/>
        <w:spacing w:before="0" w:beforeAutospacing="0" w:after="0" w:afterAutospacing="0"/>
        <w:jc w:val="center"/>
        <w:rPr>
          <w:rFonts w:ascii="Verdana" w:hAnsi="Verdana"/>
          <w:color w:val="000000"/>
          <w:sz w:val="16"/>
          <w:szCs w:val="16"/>
        </w:rPr>
      </w:pPr>
      <w:r>
        <w:rPr>
          <w:rFonts w:ascii="Verdana" w:hAnsi="Verdana"/>
          <w:b/>
          <w:bCs/>
          <w:color w:val="000000"/>
          <w:sz w:val="16"/>
          <w:szCs w:val="16"/>
        </w:rPr>
        <w:t> </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 </w:t>
      </w:r>
    </w:p>
    <w:p w:rsidR="00A74A73" w:rsidRDefault="00A74A73" w:rsidP="00A74A73">
      <w:pPr>
        <w:pStyle w:val="a3"/>
        <w:spacing w:before="0" w:beforeAutospacing="0" w:after="0" w:afterAutospacing="0"/>
        <w:jc w:val="center"/>
        <w:rPr>
          <w:rFonts w:ascii="Verdana" w:hAnsi="Verdana"/>
          <w:color w:val="000000"/>
          <w:sz w:val="16"/>
          <w:szCs w:val="16"/>
        </w:rPr>
      </w:pPr>
      <w:r>
        <w:rPr>
          <w:rFonts w:ascii="Verdana" w:hAnsi="Verdana"/>
          <w:b/>
          <w:bCs/>
          <w:color w:val="000000"/>
          <w:sz w:val="16"/>
          <w:szCs w:val="16"/>
        </w:rPr>
        <w:t>ГОРОДСКОЙ СОВЕТ МУНИЦИПАЛЬНОГО ОБРАЗОВАНИЯ</w:t>
      </w:r>
    </w:p>
    <w:p w:rsidR="00A74A73" w:rsidRDefault="00A74A73" w:rsidP="00A74A73">
      <w:pPr>
        <w:pStyle w:val="a3"/>
        <w:spacing w:before="0" w:beforeAutospacing="0" w:after="0" w:afterAutospacing="0"/>
        <w:jc w:val="center"/>
        <w:rPr>
          <w:rFonts w:ascii="Verdana" w:hAnsi="Verdana"/>
          <w:color w:val="000000"/>
          <w:sz w:val="16"/>
          <w:szCs w:val="16"/>
        </w:rPr>
      </w:pPr>
      <w:r>
        <w:rPr>
          <w:rFonts w:ascii="Verdana" w:hAnsi="Verdana"/>
          <w:b/>
          <w:bCs/>
          <w:color w:val="000000"/>
          <w:sz w:val="16"/>
          <w:szCs w:val="16"/>
        </w:rPr>
        <w:t>«ГОРОДСКОЙ ОКРУГ  ГОРОД НАЗРАНЬ»</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b/>
          <w:bCs/>
          <w:color w:val="000000"/>
          <w:sz w:val="16"/>
          <w:szCs w:val="16"/>
        </w:rPr>
        <w:t> </w:t>
      </w:r>
    </w:p>
    <w:p w:rsidR="00A74A73" w:rsidRDefault="00A74A73" w:rsidP="00A74A73">
      <w:pPr>
        <w:pStyle w:val="a3"/>
        <w:spacing w:before="0" w:beforeAutospacing="0" w:after="0" w:afterAutospacing="0"/>
        <w:rPr>
          <w:rFonts w:ascii="Verdana" w:hAnsi="Verdana"/>
          <w:color w:val="000000"/>
          <w:sz w:val="16"/>
          <w:szCs w:val="16"/>
        </w:rPr>
      </w:pP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b/>
          <w:bCs/>
          <w:color w:val="000000"/>
          <w:sz w:val="16"/>
          <w:szCs w:val="16"/>
        </w:rPr>
        <w:t>РЕШЕНИЕ</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b/>
          <w:bCs/>
          <w:color w:val="000000"/>
          <w:sz w:val="16"/>
          <w:szCs w:val="16"/>
        </w:rPr>
        <w:t>№ 21/166-1 от 28 июня</w:t>
      </w:r>
      <w:r>
        <w:rPr>
          <w:rStyle w:val="apple-converted-space"/>
          <w:rFonts w:ascii="Verdana" w:hAnsi="Verdana"/>
          <w:b/>
          <w:bCs/>
          <w:color w:val="000000"/>
          <w:sz w:val="16"/>
          <w:szCs w:val="16"/>
        </w:rPr>
        <w:t> </w:t>
      </w:r>
      <w:r>
        <w:rPr>
          <w:rFonts w:ascii="Verdana" w:hAnsi="Verdana"/>
          <w:b/>
          <w:bCs/>
          <w:color w:val="000000"/>
          <w:sz w:val="16"/>
          <w:szCs w:val="16"/>
        </w:rPr>
        <w:t>2011 г.   </w:t>
      </w:r>
    </w:p>
    <w:p w:rsidR="00A74A73" w:rsidRDefault="00A74A73" w:rsidP="00A74A73">
      <w:pPr>
        <w:pStyle w:val="a3"/>
        <w:spacing w:before="0" w:beforeAutospacing="0" w:after="0" w:afterAutospacing="0"/>
        <w:jc w:val="center"/>
        <w:rPr>
          <w:rFonts w:ascii="Verdana" w:hAnsi="Verdana"/>
          <w:color w:val="000000"/>
          <w:sz w:val="16"/>
          <w:szCs w:val="16"/>
        </w:rPr>
      </w:pPr>
      <w:r>
        <w:rPr>
          <w:rFonts w:ascii="Verdana" w:hAnsi="Verdana"/>
          <w:b/>
          <w:bCs/>
          <w:color w:val="000000"/>
          <w:sz w:val="16"/>
          <w:szCs w:val="16"/>
        </w:rPr>
        <w:t>Об утверждении Порядка</w:t>
      </w:r>
      <w:r>
        <w:rPr>
          <w:rStyle w:val="apple-converted-space"/>
          <w:rFonts w:ascii="Verdana" w:hAnsi="Verdana"/>
          <w:b/>
          <w:bCs/>
          <w:color w:val="000000"/>
          <w:sz w:val="16"/>
          <w:szCs w:val="16"/>
        </w:rPr>
        <w:t> </w:t>
      </w:r>
      <w:r>
        <w:rPr>
          <w:rFonts w:ascii="Verdana" w:hAnsi="Verdana"/>
          <w:b/>
          <w:bCs/>
          <w:color w:val="000000"/>
          <w:sz w:val="16"/>
          <w:szCs w:val="16"/>
        </w:rPr>
        <w:t>определения объема субсидий муниципальным бюджетным и автономным учреждениям из бюджета г.Назрань  на возмещение нормативных затрат, связанных с оказанием ими муниципальных услуг (выполнением работ)  в соответствии с муниципальным заданием  и взыскания в бюджет      г.Назрань неиспользованных остатков субсидий</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 В целях повышения эффективности и результативности деятельности муниципальных бюджетных и автономных учреждений города Назрань, в соответствии с Бюджетным кодексом Российской Федерации,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Городской совет  муниципального образования «Городской округ город Назрань»</w:t>
      </w:r>
      <w:r>
        <w:rPr>
          <w:rStyle w:val="apple-converted-space"/>
          <w:rFonts w:ascii="Verdana" w:hAnsi="Verdana"/>
          <w:color w:val="000000"/>
          <w:sz w:val="16"/>
          <w:szCs w:val="16"/>
        </w:rPr>
        <w:t> </w:t>
      </w:r>
      <w:r>
        <w:rPr>
          <w:rFonts w:ascii="Verdana" w:hAnsi="Verdana"/>
          <w:b/>
          <w:bCs/>
          <w:color w:val="000000"/>
          <w:sz w:val="16"/>
          <w:szCs w:val="16"/>
        </w:rPr>
        <w:t>решил:</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 1. Утвердить прилагаемый  Порядок определения объема субсидий муниципальным бюджетным и автономным учреждениям из бюджета г.Назрань на возмещение нормативных затрат, связанных с оказанием ими муниципальных услуг (выполнением работ) в  соответствии с муниципальным заданием и взыскания в бюджет г.Назрань неиспользованных остатков субсидий.</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 2. Установить, что нормативные затраты на оказание муниципальными бюджетными и автономными учреждениями муниципальных услуг (выполнение работ) и нормативные затраты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на 2011 год утверждаются Администрацией г.Назрань.</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3. Настоящее Решение распространяется на правоотношения, возникшие с 01 января 2011 года.</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4. Опубликовать (обнародовать) настоящее Решение  в средствах массовой информации.</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5. Контроль за исполнением настоящего Решения возложить на заместителя председателя Городского совета  М.А. Аушева.</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 </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 </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 </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b/>
          <w:bCs/>
          <w:color w:val="000000"/>
          <w:sz w:val="16"/>
          <w:szCs w:val="16"/>
        </w:rPr>
        <w:t> </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b/>
          <w:bCs/>
          <w:color w:val="000000"/>
          <w:sz w:val="16"/>
          <w:szCs w:val="16"/>
        </w:rPr>
        <w:t>Председатель</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b/>
          <w:bCs/>
          <w:color w:val="000000"/>
          <w:sz w:val="16"/>
          <w:szCs w:val="16"/>
        </w:rPr>
        <w:t>Городского совета                                                                       М.С.Парчиев</w:t>
      </w:r>
      <w:r>
        <w:rPr>
          <w:rFonts w:ascii="Verdana" w:hAnsi="Verdana"/>
          <w:b/>
          <w:bCs/>
          <w:color w:val="000000"/>
          <w:sz w:val="16"/>
          <w:szCs w:val="16"/>
        </w:rPr>
        <w:br/>
      </w:r>
      <w:r>
        <w:rPr>
          <w:rFonts w:ascii="Verdana" w:hAnsi="Verdana"/>
          <w:color w:val="000000"/>
          <w:sz w:val="16"/>
          <w:szCs w:val="16"/>
        </w:rPr>
        <w:t> </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 </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 </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 </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 </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 </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 </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 </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 </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 </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 </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 </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 </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 </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 </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 </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 </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 </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 </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 </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 </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 </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 </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 </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 </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 </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 </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 </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 </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 </w:t>
      </w:r>
    </w:p>
    <w:p w:rsidR="00A74A73" w:rsidRDefault="00A74A73" w:rsidP="00A74A73">
      <w:pPr>
        <w:pStyle w:val="a3"/>
        <w:spacing w:before="0" w:beforeAutospacing="0" w:after="0" w:afterAutospacing="0"/>
        <w:jc w:val="right"/>
        <w:rPr>
          <w:rFonts w:ascii="Verdana" w:hAnsi="Verdana"/>
          <w:color w:val="000000"/>
          <w:sz w:val="16"/>
          <w:szCs w:val="16"/>
        </w:rPr>
      </w:pPr>
      <w:r>
        <w:rPr>
          <w:rFonts w:ascii="Verdana" w:hAnsi="Verdana"/>
          <w:b/>
          <w:bCs/>
          <w:color w:val="000000"/>
          <w:sz w:val="16"/>
          <w:szCs w:val="16"/>
        </w:rPr>
        <w:t> Утвержден</w:t>
      </w:r>
    </w:p>
    <w:p w:rsidR="00A74A73" w:rsidRDefault="00A74A73" w:rsidP="00A74A73">
      <w:pPr>
        <w:pStyle w:val="a3"/>
        <w:spacing w:before="0" w:beforeAutospacing="0" w:after="0" w:afterAutospacing="0"/>
        <w:jc w:val="right"/>
        <w:rPr>
          <w:rFonts w:ascii="Verdana" w:hAnsi="Verdana"/>
          <w:color w:val="000000"/>
          <w:sz w:val="16"/>
          <w:szCs w:val="16"/>
        </w:rPr>
      </w:pPr>
      <w:r>
        <w:rPr>
          <w:rFonts w:ascii="Verdana" w:hAnsi="Verdana"/>
          <w:b/>
          <w:bCs/>
          <w:color w:val="000000"/>
          <w:sz w:val="16"/>
          <w:szCs w:val="16"/>
        </w:rPr>
        <w:t>Решением  Городского совета муниципального образования</w:t>
      </w:r>
    </w:p>
    <w:p w:rsidR="00A74A73" w:rsidRDefault="00A74A73" w:rsidP="00A74A73">
      <w:pPr>
        <w:pStyle w:val="a3"/>
        <w:spacing w:before="0" w:beforeAutospacing="0" w:after="0" w:afterAutospacing="0"/>
        <w:jc w:val="right"/>
        <w:rPr>
          <w:rFonts w:ascii="Verdana" w:hAnsi="Verdana"/>
          <w:color w:val="000000"/>
          <w:sz w:val="16"/>
          <w:szCs w:val="16"/>
        </w:rPr>
      </w:pPr>
      <w:r>
        <w:rPr>
          <w:rFonts w:ascii="Verdana" w:hAnsi="Verdana"/>
          <w:b/>
          <w:bCs/>
          <w:color w:val="000000"/>
          <w:sz w:val="16"/>
          <w:szCs w:val="16"/>
        </w:rPr>
        <w:t> «Городской округ город Назрань»</w:t>
      </w:r>
      <w:r>
        <w:rPr>
          <w:rStyle w:val="apple-converted-space"/>
          <w:rFonts w:ascii="Verdana" w:hAnsi="Verdana"/>
          <w:b/>
          <w:bCs/>
          <w:color w:val="000000"/>
          <w:sz w:val="16"/>
          <w:szCs w:val="16"/>
        </w:rPr>
        <w:t> </w:t>
      </w:r>
      <w:r>
        <w:rPr>
          <w:rFonts w:ascii="Verdana" w:hAnsi="Verdana"/>
          <w:b/>
          <w:bCs/>
          <w:color w:val="000000"/>
          <w:sz w:val="16"/>
          <w:szCs w:val="16"/>
        </w:rPr>
        <w:br/>
        <w:t> № 21/166-1 от 28 июня 2011г.</w:t>
      </w:r>
    </w:p>
    <w:p w:rsidR="00A74A73" w:rsidRDefault="00A74A73" w:rsidP="00A74A73">
      <w:pPr>
        <w:pStyle w:val="a3"/>
        <w:spacing w:before="0" w:beforeAutospacing="0" w:after="0" w:afterAutospacing="0"/>
        <w:jc w:val="center"/>
        <w:rPr>
          <w:rFonts w:ascii="Verdana" w:hAnsi="Verdana"/>
          <w:color w:val="000000"/>
          <w:sz w:val="16"/>
          <w:szCs w:val="16"/>
        </w:rPr>
      </w:pPr>
      <w:r>
        <w:rPr>
          <w:rFonts w:ascii="Verdana" w:hAnsi="Verdana"/>
          <w:b/>
          <w:bCs/>
          <w:color w:val="000000"/>
          <w:sz w:val="16"/>
          <w:szCs w:val="16"/>
        </w:rPr>
        <w:t> </w:t>
      </w:r>
    </w:p>
    <w:p w:rsidR="00A74A73" w:rsidRDefault="00A74A73" w:rsidP="00A74A73">
      <w:pPr>
        <w:pStyle w:val="a3"/>
        <w:spacing w:before="0" w:beforeAutospacing="0" w:after="0" w:afterAutospacing="0"/>
        <w:jc w:val="center"/>
        <w:rPr>
          <w:rFonts w:ascii="Verdana" w:hAnsi="Verdana"/>
          <w:color w:val="000000"/>
          <w:sz w:val="16"/>
          <w:szCs w:val="16"/>
        </w:rPr>
      </w:pPr>
      <w:r>
        <w:rPr>
          <w:rFonts w:ascii="Verdana" w:hAnsi="Verdana"/>
          <w:b/>
          <w:bCs/>
          <w:color w:val="000000"/>
          <w:sz w:val="16"/>
          <w:szCs w:val="16"/>
        </w:rPr>
        <w:lastRenderedPageBreak/>
        <w:t>ПОРЯДОК</w:t>
      </w:r>
    </w:p>
    <w:p w:rsidR="00A74A73" w:rsidRDefault="00A74A73" w:rsidP="00A74A73">
      <w:pPr>
        <w:pStyle w:val="a3"/>
        <w:spacing w:before="0" w:beforeAutospacing="0" w:after="0" w:afterAutospacing="0"/>
        <w:jc w:val="center"/>
        <w:rPr>
          <w:rFonts w:ascii="Verdana" w:hAnsi="Verdana"/>
          <w:color w:val="000000"/>
          <w:sz w:val="16"/>
          <w:szCs w:val="16"/>
        </w:rPr>
      </w:pPr>
      <w:r>
        <w:rPr>
          <w:rFonts w:ascii="Verdana" w:hAnsi="Verdana"/>
          <w:color w:val="000000"/>
          <w:sz w:val="16"/>
          <w:szCs w:val="16"/>
        </w:rPr>
        <w:t>определения объема субсидий муниципальным бюджетным и автономным учреждениям из бюджета города Назрань  на возмещение нормативных затрат, связанных с оказанием ими в соответствии с муниципальным заданием муниципальных услуг (выполнением работ), и взыскания в бюджет г. Назрань неиспользованных остатков субсидий</w:t>
      </w:r>
    </w:p>
    <w:p w:rsidR="00A74A73" w:rsidRDefault="00A74A73" w:rsidP="00A74A73">
      <w:pPr>
        <w:pStyle w:val="a3"/>
        <w:spacing w:before="0" w:beforeAutospacing="0" w:after="0" w:afterAutospacing="0"/>
        <w:jc w:val="center"/>
        <w:rPr>
          <w:rFonts w:ascii="Verdana" w:hAnsi="Verdana"/>
          <w:color w:val="000000"/>
          <w:sz w:val="16"/>
          <w:szCs w:val="16"/>
        </w:rPr>
      </w:pPr>
      <w:r>
        <w:rPr>
          <w:rFonts w:ascii="Verdana" w:hAnsi="Verdana"/>
          <w:color w:val="000000"/>
          <w:sz w:val="16"/>
          <w:szCs w:val="16"/>
        </w:rPr>
        <w:t> </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 </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1.Настоящий Порядок разработан в соответствии с Бюджетным кодексом Российской Федерации,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приказом Министерства финансов Российской Федерации от 28 июля</w:t>
      </w:r>
      <w:r>
        <w:rPr>
          <w:rStyle w:val="apple-converted-space"/>
          <w:rFonts w:ascii="Verdana" w:hAnsi="Verdana"/>
          <w:color w:val="000000"/>
          <w:sz w:val="16"/>
          <w:szCs w:val="16"/>
        </w:rPr>
        <w:t> </w:t>
      </w:r>
      <w:r>
        <w:rPr>
          <w:rFonts w:ascii="Verdana" w:hAnsi="Verdana"/>
          <w:color w:val="000000"/>
          <w:sz w:val="16"/>
          <w:szCs w:val="16"/>
        </w:rPr>
        <w:t>2010 г. № 82н «О взыскании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учреждениям) и определяет правила определения объема и условия предоставления субсидий муниципальным бюджетным и автономным учреждениям г.Назрань (далее – бюджетные и автономные учреждения) из бюджета г.Назрань (далее – бюджет) на возмещение нормативных затрат, связанных с оказанием ими в соответствии с муниципальным заданием муниципальных услуг (выполнением работ), а также взыскания в бюджет г.Назрань неиспользованных остатков субсидий.</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2. Настоящий Порядок распространяется на бюджетные и автономные муниципальные учреждения, которым предоставляются из бюджета г. Назрань субсидии на возмещение нормативных затрат, связанных с оказанием ими в соответствии с муниципальным заданием муниципальных услуг (выполнением работ) в соответствии с пунктом 1 статьи 78.1 Бюджетного кодекса Российской Федерации.</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3. Объем субсидий бюджетным и автономным учреждениям из бюджета на возмещение нормативных затрат, связанных с оказанием ими в соответствии с муниципальным заданием муниципальных услуг (выполнением работ), (далее – субсидия) определяется на основании:</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1) нормативных затрат на оказание муниципальных услуг (выполнение работ) в рамках муниципального задания;</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         2) нормативных затрат на содержание недвижимого имущества и особо ценного движимого имущества, закрепленного за бюджетным или автономным учреждением учредителем или приобретенного бюджетным или автономным учреждением за счет средств, выделенных ему учредителем на приобретение такого имущества, (за исключением имущества, сданного в аренду) с учетом расходов на уплату налогов, в качестве объекта налогообложения по которым признается указанное имущество, в том числе, земельные участки (далее – нормативные затраты на содержание имущества).</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4. Объем субсидии определяется Администрацией г.Назрань в соответствии с утвержденным учреждениями порядком расчета нормативных затрат на оказание бюджетными и автономными учреждениями муниципальных услуг (выполнение работ) и нормативных затрат на содержание имущества, в пределах объемов бюджетных ассигнований, предусмотренных на соответствующие цели в бюджете на очередной финансовый год (очередной финансовый год и плановый период).</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5. При оказании в случаях, установленных действующими нормативными правовыми актами, бюджетными или автономными учреждениями муниципальных услуг (выполнении работ) потребителям частично за плату в пределах установленного муниципального задания, размер субсидии рассчитывается с учетом средств, планируемых к поступлению от потребителей указанных услуг (работ).</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Величина частичной оплаты муниципальных услуг (работ) потребителями определяется в соответствии с действующими нормативными правовыми актами. Объем нормативных затрат на оказание муниципальных услуг (выполнение работ) и нормативных затрат на содержание имущества, частично возмещаемый потребителями муниципальных услуг (работ) в размере установленной платы, в расчет субсидии не включается.</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6. Если бюджетное или автономное учреждение осуществляет свою деятельность по оказанию услуг или выполнению работ для потребителей только на платной основе, субсидия из бюджета не предоставляется.</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7. Предоставление бюджетному или автономному учреждению субсидии в течение финансового года осуществляется на основании муниципального задания при условии его выполнения в предыдущем отчетном периоде этим учреждением.</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8. Объем и периодичность перечисления субсидии в течение финансового года, особенности финансового обеспечения выполнения муниципального задания (при наличии таких особенностей) предусматриваются в муниципальном задании.</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9. Администрация г. Назрань вправе:</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1) приостанавливать перечисление субсидии бюджетному или автономному учреждению в случае невыполнения им показателей муниципального задания, характеризующих качество и (или) объем (содержание) оказываемых муниципальных услуг (выполняемых работ), до устранения выявленных нарушений;</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2) изменять размер, предоставляемой бюджетному или автономному  учреждению субсидии в случае изменения в муниципальном задании показателей, характеризующих качество и (или) объем (содержание) оказываемых муниципальных услуг (выполняемых работ);</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3) перечислять сумму субсидии исходя из объема фактически выполненного за предыдущий отчетный период муниципального задания с возможностью перечисления аванса;</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4) определять отклонения установленных плановых показателей муниципального задания, характеризующих качество и (или) объем (содержание) оказываемых муниципальных услуг (выполняемых работ), в объеме не более десяти процентов, не влекущие за собой уменьшение объема субсидии.           </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         10. Неиспользованные остатки целевых субсидий, в отношении которых Администрацией г. Назрань не принято решение о наличии потребности в направлении их на те же цели в текущем финансовом году (далее – остатки целевых субсидий) подлежат взысканию.</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 xml:space="preserve">           11. В случае если до 20 января  финансового года, следующего за отчетным, решение о наличии потребности в направлении остатков целевых субсидий на те же цели в текущем финансовом году не принято, Администрация г. Назрань направляет в  территориальный орган Федерального казначейства по </w:t>
      </w:r>
      <w:r>
        <w:rPr>
          <w:rFonts w:ascii="Verdana" w:hAnsi="Verdana"/>
          <w:color w:val="000000"/>
          <w:sz w:val="16"/>
          <w:szCs w:val="16"/>
        </w:rPr>
        <w:lastRenderedPageBreak/>
        <w:t>месту открытия учреждению лицевого счета для учета операций с целевыми субсидиями (далее соответственно – лицевой счет по иным субсидиям, орган осуществляющий ведение лицевого счета по иным субсидиям) уведомление о взыскании неиспользованных остатков целевых субсидий (далее – Уведомление) по форме, установленной финансовым управлением г.Назрань. Уведомление должно содержать:</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 номер и дату документа;</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 наименование учреждения, с которого взыскиваются неиспользованные остатки целевых субсидий;</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 наименование бюджета, в который взыскиваются неиспользованные остатки целевых субсидий;</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 наименование       органа      Федерального      казначейства      по Республике Ингушетия на балансовый счет  № 40101 «Доходы, распределяемые органами Федерального казначейства между бюджетами бюджетной системы Российской Федерации» (далее – счет № 40101), которого подлежат зачислению неиспользованные остатки целевых субсидий;</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 идентификационный номер налогоплательщика (ИНН) и код причины постановки на налоговый учет (КПП) органа исполнительной власти  за которым закреплены источники доходов бюджета по возврату неиспользованных остатков целевых субсидий (далее - администратор доходов бюджета), код главного администратора доходов бюджета;</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 аналитические коды, присвоенные Администрации г.Назрань, для учета операций с целевыми субсидиями (код субсидии) по предоставленным целевым субсидиям и соответствующие им суммы.</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  подпись (с расшифровкой) Главы Администрации г. Назрань.</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12. Орган, осуществляющий ведение лицевого счета по иным субсидиям, при получении Уведомления ставит на нем отметку о получении и не позднее трех рабочих дней со дня получения, направляет его копию в Администрацию г. Назрань.</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13. Орган, осуществляющий ведение лицевого счета по иным субсидиям, осуществляет взыскание остатков целевых субсидий путем их перечисления на счет, открытый   в Управлении Федерального казначейства по Республике Ингушетия на балансовом счете № 40101, для последующего перечисления остатков целевых субсидий в доход бюджета г.Назрань.</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14. Перечисление остатков целевых субсидий осуществляется в пределах общего остатка средств, учтенных на лицевом счете по иным субсидиям, открытого учреждению, на основании платежных документов, оформленных в установленном порядке органом, осуществляющим ведение лицевого счета по иным субсидиям, на счет № 40101 по месту открытия лицевого счета администратора доходов бюджета.</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 </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 </w:t>
      </w:r>
    </w:p>
    <w:p w:rsidR="00A74A73" w:rsidRDefault="00A74A73" w:rsidP="00A74A73">
      <w:pPr>
        <w:pStyle w:val="a3"/>
        <w:spacing w:before="0" w:beforeAutospacing="0" w:after="0" w:afterAutospacing="0"/>
        <w:rPr>
          <w:rFonts w:ascii="Verdana" w:hAnsi="Verdana"/>
          <w:color w:val="000000"/>
          <w:sz w:val="16"/>
          <w:szCs w:val="16"/>
        </w:rPr>
      </w:pPr>
      <w:r>
        <w:rPr>
          <w:rFonts w:ascii="Verdana" w:hAnsi="Verdana"/>
          <w:color w:val="000000"/>
          <w:sz w:val="16"/>
          <w:szCs w:val="16"/>
        </w:rPr>
        <w:t> </w:t>
      </w:r>
    </w:p>
    <w:p w:rsidR="0042269C" w:rsidRDefault="0042269C"/>
    <w:sectPr w:rsidR="004226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74A73"/>
    <w:rsid w:val="0042269C"/>
    <w:rsid w:val="00A74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4A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74A73"/>
  </w:style>
</w:styles>
</file>

<file path=word/webSettings.xml><?xml version="1.0" encoding="utf-8"?>
<w:webSettings xmlns:r="http://schemas.openxmlformats.org/officeDocument/2006/relationships" xmlns:w="http://schemas.openxmlformats.org/wordprocessingml/2006/main">
  <w:divs>
    <w:div w:id="184126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1606</Words>
  <Characters>9156</Characters>
  <Application>Microsoft Office Word</Application>
  <DocSecurity>0</DocSecurity>
  <Lines>76</Lines>
  <Paragraphs>21</Paragraphs>
  <ScaleCrop>false</ScaleCrop>
  <Company>MICROSOFT</Company>
  <LinksUpToDate>false</LinksUpToDate>
  <CharactersWithSpaces>10741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dc:creator>
  <cp:keywords/>
  <dc:description/>
  <cp:lastModifiedBy>Amina</cp:lastModifiedBy>
  <cp:revision>3</cp:revision>
  <dcterms:created xsi:type="dcterms:W3CDTF">2013-09-25T11:50:00Z</dcterms:created>
  <dcterms:modified xsi:type="dcterms:W3CDTF">2013-09-25T11:50:00Z</dcterms:modified>
</cp:coreProperties>
</file>