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0F" w:rsidRDefault="0077150F" w:rsidP="0077150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 w:cs="Verdana"/>
          <w:color w:val="000000"/>
          <w:sz w:val="17"/>
          <w:szCs w:val="17"/>
        </w:rPr>
        <w:t>﻿﻿</w:t>
      </w:r>
    </w:p>
    <w:p w:rsidR="0077150F" w:rsidRDefault="0077150F" w:rsidP="0077150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FFFFFF"/>
        </w:rPr>
        <w:t>___________</w:t>
      </w:r>
    </w:p>
    <w:p w:rsidR="0077150F" w:rsidRDefault="0077150F" w:rsidP="0077150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Г</w:t>
      </w:r>
      <w:proofErr w:type="gramStart"/>
      <w:r>
        <w:rPr>
          <w:b/>
          <w:bCs/>
          <w:color w:val="000000"/>
          <w:lang w:val="en-US"/>
        </w:rPr>
        <w:t>I</w:t>
      </w:r>
      <w:proofErr w:type="gramEnd"/>
      <w:r w:rsidRPr="0077150F">
        <w:rPr>
          <w:b/>
          <w:bCs/>
          <w:color w:val="000000"/>
        </w:rPr>
        <w:t>АЛГ</w:t>
      </w:r>
      <w:r>
        <w:rPr>
          <w:b/>
          <w:bCs/>
          <w:color w:val="000000"/>
          <w:lang w:val="en-US"/>
        </w:rPr>
        <w:t>I</w:t>
      </w:r>
      <w:r w:rsidRPr="0077150F">
        <w:rPr>
          <w:b/>
          <w:bCs/>
          <w:color w:val="000000"/>
        </w:rPr>
        <w:t>АЙ РЕСПУБЛИКА</w:t>
      </w:r>
    </w:p>
    <w:p w:rsidR="0077150F" w:rsidRDefault="0077150F" w:rsidP="0077150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РЕСПУБЛИКА ИНГУШЕТИЯ</w:t>
      </w:r>
    </w:p>
    <w:p w:rsidR="0077150F" w:rsidRDefault="0077150F" w:rsidP="0077150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ГОРОДСКОЙ СОВЕТ МУНИЦИПАЛЬНОГО ОБРАЗОВАНИЯ</w:t>
      </w:r>
    </w:p>
    <w:p w:rsidR="0077150F" w:rsidRDefault="0077150F" w:rsidP="0077150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t>« ГОРОДСКОЙ ОКРУГ ГОРОД НАЗРАНЬ</w:t>
      </w:r>
    </w:p>
    <w:p w:rsidR="0077150F" w:rsidRDefault="0077150F" w:rsidP="0077150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РЕШЕНИЕ</w:t>
      </w:r>
    </w:p>
    <w:p w:rsidR="0077150F" w:rsidRDefault="0077150F" w:rsidP="0077150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77150F" w:rsidRDefault="0077150F" w:rsidP="0077150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77150F" w:rsidRDefault="0077150F" w:rsidP="0077150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№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b/>
          <w:bCs/>
          <w:color w:val="000000"/>
          <w:sz w:val="27"/>
          <w:szCs w:val="27"/>
        </w:rPr>
        <w:t>27/189-1 от 29 ноября 2011г.</w:t>
      </w:r>
    </w:p>
    <w:p w:rsidR="0077150F" w:rsidRDefault="0077150F" w:rsidP="0077150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</w:p>
    <w:p w:rsidR="0077150F" w:rsidRDefault="0077150F" w:rsidP="0077150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О внесении изменений и дополнений в Устав муниципального образования «Городской округ город Назрань»</w:t>
      </w:r>
    </w:p>
    <w:p w:rsidR="0077150F" w:rsidRDefault="0077150F" w:rsidP="0077150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77150F" w:rsidRDefault="0077150F" w:rsidP="0077150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соответствии с изменениями внесенными Федеральным законом от 21.04.2011 № 69-ФЗ, Федеральным законом от 11.07.2011 № 192-ФЗ, Федеральным законом от 18.07.2011 № 242-ФЗ, Федеральным законом от 19.07.2011 №246-ФЗ в Федеральный закон от 6 октября 2003г. №131–ФЗ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"Об общих принципах организации местного самоуправления в Российской Федерации</w:t>
      </w:r>
      <w:proofErr w:type="gramStart"/>
      <w:r>
        <w:rPr>
          <w:color w:val="000000"/>
          <w:sz w:val="27"/>
          <w:szCs w:val="27"/>
        </w:rPr>
        <w:t>"Г</w:t>
      </w:r>
      <w:proofErr w:type="gramEnd"/>
      <w:r>
        <w:rPr>
          <w:color w:val="000000"/>
          <w:sz w:val="27"/>
          <w:szCs w:val="27"/>
        </w:rPr>
        <w:t>ородской совет муниципального образования « Городской округ город Назрань»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решил:</w:t>
      </w:r>
    </w:p>
    <w:p w:rsidR="0077150F" w:rsidRDefault="0077150F" w:rsidP="0077150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77150F" w:rsidRDefault="0077150F" w:rsidP="0077150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1. Внести в Устав муниципального образования «Городской округ город Назрань», утвержденный Решением Городского совета муниципального образования « Городской округ город Назрань» № 5 /22-1 от 24. 12. 2009 г. зарегистрированный Управлением Минюста России по Республике Ингушетия от 28 декабря 2009 г. №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lang w:val="en-US"/>
        </w:rPr>
        <w:t>RU</w:t>
      </w:r>
      <w:r w:rsidRPr="0077150F">
        <w:rPr>
          <w:color w:val="000000"/>
          <w:sz w:val="27"/>
          <w:szCs w:val="27"/>
        </w:rPr>
        <w:t>063020002009001, следующие изменения и дополнения:</w:t>
      </w:r>
    </w:p>
    <w:p w:rsidR="0077150F" w:rsidRDefault="0077150F" w:rsidP="0077150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- подпункт 5 пункта 1 статьи 11 после слов «городского округа» дополнить словами «и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сохранностью автомобильных дорог местного значения в границах городского округа»;</w:t>
      </w:r>
    </w:p>
    <w:p w:rsidR="0077150F" w:rsidRDefault="0077150F" w:rsidP="0077150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подпункт 26 пункта 1 статьи 11 после слов «выдача разрешений на строительство» дополнить словами «(за исключением случаев, предусмотренных Градостроительным кодексом Российской Федерации, иными федеральными законами)"</w:t>
      </w:r>
      <w:proofErr w:type="gramStart"/>
      <w:r>
        <w:rPr>
          <w:color w:val="000000"/>
          <w:sz w:val="27"/>
          <w:szCs w:val="27"/>
        </w:rPr>
        <w:t>,п</w:t>
      </w:r>
      <w:proofErr w:type="gramEnd"/>
      <w:r>
        <w:rPr>
          <w:color w:val="000000"/>
          <w:sz w:val="27"/>
          <w:szCs w:val="27"/>
        </w:rPr>
        <w:t>осле слов "при осуществлении" добавить слово "муниципального", после слова "реконструкции" исключить слова "капитального ремонта";</w:t>
      </w:r>
    </w:p>
    <w:p w:rsidR="0077150F" w:rsidRDefault="0077150F" w:rsidP="0077150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подпункт 28 пункта 1 статьи 11 дополнить следующими словами «установление нумерации домов»;</w:t>
      </w:r>
    </w:p>
    <w:p w:rsidR="0077150F" w:rsidRDefault="0077150F" w:rsidP="0077150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подпункт 31 пункта 1 статьи 11 дополнить следующими словами «а также осуществление муниципального контроля в области использования и охраны особо охраняемых природных территорий местного значения»;</w:t>
      </w:r>
    </w:p>
    <w:p w:rsidR="0077150F" w:rsidRDefault="0077150F" w:rsidP="0077150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подпункт 36 пункта 1 статьи 11 дополнить следующими словами «включая обеспечение свободного доступа граждан к водным объектам общего пользования и их береговым полосам»;</w:t>
      </w:r>
    </w:p>
    <w:p w:rsidR="0077150F" w:rsidRDefault="0077150F" w:rsidP="0077150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подпункт 38 пункта 1 статьи 11 исключить слова «и надзора»;</w:t>
      </w:r>
    </w:p>
    <w:p w:rsidR="0077150F" w:rsidRDefault="0077150F" w:rsidP="0077150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пункт 1 статьи 11 дополнить следующими подпунктами:</w:t>
      </w:r>
    </w:p>
    <w:p w:rsidR="0077150F" w:rsidRDefault="0077150F" w:rsidP="0077150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"39) осуществление муниципального контроля за проведение муниципальных лотерей";</w:t>
      </w:r>
    </w:p>
    <w:p w:rsidR="0077150F" w:rsidRDefault="0077150F" w:rsidP="0077150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"40) осуществление муниципального контроля на территории особой экономической зоны";</w:t>
      </w:r>
    </w:p>
    <w:p w:rsidR="0077150F" w:rsidRDefault="0077150F" w:rsidP="0077150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"41) 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соответствии с федеральным законом".</w:t>
      </w:r>
    </w:p>
    <w:p w:rsidR="0077150F" w:rsidRDefault="0077150F" w:rsidP="0077150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3. Опубликовать (обнародовать) настоящее Решение в средствах массовой информации после государственной регистрации.</w:t>
      </w:r>
    </w:p>
    <w:p w:rsidR="0077150F" w:rsidRDefault="0077150F" w:rsidP="0077150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 xml:space="preserve">4.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Решения возложить на заместителя председателя Городского совета Аушева М.А.</w:t>
      </w:r>
    </w:p>
    <w:p w:rsidR="0077150F" w:rsidRDefault="0077150F" w:rsidP="0077150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</w:p>
    <w:p w:rsidR="0077150F" w:rsidRDefault="0077150F" w:rsidP="0077150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Председатель</w:t>
      </w:r>
    </w:p>
    <w:p w:rsidR="0077150F" w:rsidRDefault="0077150F" w:rsidP="0077150F">
      <w:pPr>
        <w:pStyle w:val="a3"/>
        <w:spacing w:before="0" w:beforeAutospacing="0" w:after="0" w:afterAutospacing="0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Городского совета М.С.Парчиев</w:t>
      </w:r>
    </w:p>
    <w:p w:rsidR="00A83E1E" w:rsidRDefault="00A83E1E"/>
    <w:sectPr w:rsidR="00A8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77150F"/>
    <w:rsid w:val="0077150F"/>
    <w:rsid w:val="00A8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1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2575</Characters>
  <Application>Microsoft Office Word</Application>
  <DocSecurity>0</DocSecurity>
  <Lines>21</Lines>
  <Paragraphs>6</Paragraphs>
  <ScaleCrop>false</ScaleCrop>
  <Company>MICROSOFT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2013-09-25T08:18:00Z</dcterms:created>
  <dcterms:modified xsi:type="dcterms:W3CDTF">2013-09-25T08:18:00Z</dcterms:modified>
</cp:coreProperties>
</file>