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F7376C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956507">
        <w:rPr>
          <w:b/>
          <w:sz w:val="28"/>
          <w:szCs w:val="28"/>
        </w:rPr>
        <w:t>12</w:t>
      </w:r>
      <w:r w:rsidR="00C27308">
        <w:rPr>
          <w:b/>
          <w:sz w:val="28"/>
          <w:szCs w:val="28"/>
        </w:rPr>
        <w:t>/</w:t>
      </w:r>
      <w:r w:rsidR="00956507">
        <w:rPr>
          <w:b/>
          <w:sz w:val="28"/>
          <w:szCs w:val="28"/>
        </w:rPr>
        <w:t>47</w:t>
      </w:r>
      <w:r w:rsidRPr="00763544">
        <w:rPr>
          <w:b/>
          <w:sz w:val="28"/>
          <w:szCs w:val="28"/>
        </w:rPr>
        <w:t>-</w:t>
      </w:r>
      <w:r w:rsidR="0029060B">
        <w:rPr>
          <w:b/>
          <w:sz w:val="28"/>
          <w:szCs w:val="28"/>
        </w:rPr>
        <w:t>4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</w:t>
      </w:r>
      <w:r w:rsidR="00956507">
        <w:rPr>
          <w:b/>
          <w:sz w:val="28"/>
          <w:szCs w:val="28"/>
        </w:rPr>
        <w:t xml:space="preserve">                   </w:t>
      </w:r>
      <w:r w:rsidRPr="00763544">
        <w:rPr>
          <w:b/>
          <w:sz w:val="28"/>
          <w:szCs w:val="28"/>
        </w:rPr>
        <w:t xml:space="preserve">от </w:t>
      </w:r>
      <w:r w:rsidR="00956507">
        <w:rPr>
          <w:b/>
          <w:sz w:val="28"/>
          <w:szCs w:val="28"/>
        </w:rPr>
        <w:t>22 июля</w:t>
      </w:r>
      <w:r w:rsidR="0029060B">
        <w:rPr>
          <w:b/>
          <w:sz w:val="28"/>
          <w:szCs w:val="28"/>
        </w:rPr>
        <w:t xml:space="preserve">  2020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 отчета об исполнении бюджета  Городского совета муниципального образования «Городс</w:t>
      </w:r>
      <w:r w:rsidR="003520C2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кой округ город Назрань» за 201</w:t>
      </w:r>
      <w:r w:rsidR="0051194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азрань» за 201</w:t>
      </w:r>
      <w:r w:rsidR="0029060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9060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9060B">
        <w:rPr>
          <w:rFonts w:ascii="Times New Roman" w:hAnsi="Times New Roman" w:cs="Times New Roman"/>
          <w:sz w:val="28"/>
          <w:szCs w:val="28"/>
          <w:lang w:eastAsia="ru-RU"/>
        </w:rPr>
        <w:t>7.2020</w:t>
      </w:r>
      <w:r w:rsidR="00113FA4">
        <w:rPr>
          <w:rFonts w:ascii="Times New Roman" w:hAnsi="Times New Roman" w:cs="Times New Roman"/>
          <w:sz w:val="28"/>
          <w:szCs w:val="28"/>
          <w:lang w:eastAsia="ru-RU"/>
        </w:rPr>
        <w:t xml:space="preserve"> №1279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>-об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C27308">
        <w:rPr>
          <w:rFonts w:ascii="Times New Roman" w:hAnsi="Times New Roman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 и Устава г</w:t>
      </w:r>
      <w:proofErr w:type="gramStart"/>
      <w:r w:rsidRPr="00C27308">
        <w:rPr>
          <w:rFonts w:ascii="Times New Roman" w:hAnsi="Times New Roman"/>
          <w:sz w:val="28"/>
          <w:szCs w:val="28"/>
        </w:rPr>
        <w:t>.Н</w:t>
      </w:r>
      <w:proofErr w:type="gramEnd"/>
      <w:r w:rsidRPr="00C27308">
        <w:rPr>
          <w:rFonts w:ascii="Times New Roman" w:hAnsi="Times New Roman"/>
          <w:sz w:val="28"/>
          <w:szCs w:val="28"/>
        </w:rPr>
        <w:t>азрань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Городской совет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1. Утвердить  отчет об исполнении бюджета муниципального образования «Городской округ город Назрань» за 201</w:t>
      </w:r>
      <w:r w:rsidR="0029060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0286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  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08">
        <w:rPr>
          <w:rFonts w:ascii="Times New Roman" w:hAnsi="Times New Roman" w:cs="Times New Roman"/>
          <w:sz w:val="28"/>
          <w:szCs w:val="28"/>
        </w:rPr>
        <w:tab/>
        <w:t>2. Опубликовать (обнародовать) настоящее Решение в средствах массовой информации.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</w:t>
      </w:r>
      <w:r w:rsidRPr="00C27308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Решения </w:t>
      </w:r>
      <w:r w:rsidR="00AC21A0" w:rsidRPr="00C27308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 w:rsidR="0029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60B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290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60B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29060B">
        <w:rPr>
          <w:rFonts w:ascii="Times New Roman" w:hAnsi="Times New Roman" w:cs="Times New Roman"/>
          <w:sz w:val="28"/>
          <w:szCs w:val="28"/>
        </w:rPr>
        <w:t>.И.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906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У.Х. </w:t>
      </w:r>
      <w:proofErr w:type="spellStart"/>
      <w:r w:rsidR="0029060B">
        <w:rPr>
          <w:rFonts w:ascii="Times New Roman" w:hAnsi="Times New Roman" w:cs="Times New Roman"/>
          <w:b/>
          <w:sz w:val="28"/>
          <w:szCs w:val="28"/>
          <w:lang w:eastAsia="ru-RU"/>
        </w:rPr>
        <w:t>Евлоев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9060B">
        <w:rPr>
          <w:rFonts w:ascii="Times New Roman" w:hAnsi="Times New Roman" w:cs="Times New Roman"/>
          <w:b/>
          <w:sz w:val="28"/>
          <w:szCs w:val="28"/>
          <w:lang w:eastAsia="ru-RU"/>
        </w:rPr>
        <w:t>Ю.Д. Богатырев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4D1FB0" w:rsidRDefault="009E0B24" w:rsidP="005219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1FB0">
        <w:rPr>
          <w:rFonts w:ascii="Times New Roman" w:hAnsi="Times New Roman" w:cs="Times New Roman"/>
          <w:b/>
        </w:rPr>
        <w:lastRenderedPageBreak/>
        <w:t>Приложение №1</w:t>
      </w:r>
    </w:p>
    <w:p w:rsidR="009E0B24" w:rsidRPr="004D1FB0" w:rsidRDefault="009E0B24" w:rsidP="005219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1FB0">
        <w:rPr>
          <w:rFonts w:ascii="Times New Roman" w:hAnsi="Times New Roman" w:cs="Times New Roman"/>
          <w:b/>
        </w:rPr>
        <w:t xml:space="preserve">к  Решению Городского </w:t>
      </w:r>
      <w:r w:rsidR="001316D4" w:rsidRPr="004D1FB0">
        <w:rPr>
          <w:rFonts w:ascii="Times New Roman" w:hAnsi="Times New Roman" w:cs="Times New Roman"/>
          <w:b/>
        </w:rPr>
        <w:t>с</w:t>
      </w:r>
      <w:r w:rsidRPr="004D1FB0">
        <w:rPr>
          <w:rFonts w:ascii="Times New Roman" w:hAnsi="Times New Roman" w:cs="Times New Roman"/>
          <w:b/>
        </w:rPr>
        <w:t>овета</w:t>
      </w:r>
    </w:p>
    <w:p w:rsidR="009E0B24" w:rsidRPr="004D1FB0" w:rsidRDefault="009E0B24" w:rsidP="005219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1FB0">
        <w:rPr>
          <w:rFonts w:ascii="Times New Roman" w:hAnsi="Times New Roman" w:cs="Times New Roman"/>
          <w:b/>
        </w:rPr>
        <w:t>МО Городской округ г</w:t>
      </w:r>
      <w:proofErr w:type="gramStart"/>
      <w:r w:rsidRPr="004D1FB0">
        <w:rPr>
          <w:rFonts w:ascii="Times New Roman" w:hAnsi="Times New Roman" w:cs="Times New Roman"/>
          <w:b/>
        </w:rPr>
        <w:t>.Н</w:t>
      </w:r>
      <w:proofErr w:type="gramEnd"/>
      <w:r w:rsidRPr="004D1FB0">
        <w:rPr>
          <w:rFonts w:ascii="Times New Roman" w:hAnsi="Times New Roman" w:cs="Times New Roman"/>
          <w:b/>
        </w:rPr>
        <w:t>азрань</w:t>
      </w:r>
    </w:p>
    <w:p w:rsidR="009E0B24" w:rsidRPr="004D1FB0" w:rsidRDefault="009E0B24" w:rsidP="005219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1FB0">
        <w:rPr>
          <w:rFonts w:ascii="Times New Roman" w:hAnsi="Times New Roman" w:cs="Times New Roman"/>
          <w:b/>
        </w:rPr>
        <w:t>№</w:t>
      </w:r>
      <w:r w:rsidR="00956507" w:rsidRPr="004D1FB0">
        <w:rPr>
          <w:rFonts w:ascii="Times New Roman" w:hAnsi="Times New Roman" w:cs="Times New Roman"/>
          <w:b/>
        </w:rPr>
        <w:t>12</w:t>
      </w:r>
      <w:r w:rsidR="001316D4" w:rsidRPr="004D1FB0">
        <w:rPr>
          <w:rFonts w:ascii="Times New Roman" w:hAnsi="Times New Roman" w:cs="Times New Roman"/>
          <w:b/>
        </w:rPr>
        <w:t>/</w:t>
      </w:r>
      <w:r w:rsidR="00956507" w:rsidRPr="004D1FB0">
        <w:rPr>
          <w:rFonts w:ascii="Times New Roman" w:hAnsi="Times New Roman" w:cs="Times New Roman"/>
          <w:b/>
        </w:rPr>
        <w:t>47</w:t>
      </w:r>
      <w:r w:rsidR="00763544" w:rsidRPr="004D1FB0">
        <w:rPr>
          <w:rFonts w:ascii="Times New Roman" w:hAnsi="Times New Roman" w:cs="Times New Roman"/>
          <w:b/>
        </w:rPr>
        <w:t>-</w:t>
      </w:r>
      <w:r w:rsidR="0029060B" w:rsidRPr="004D1FB0">
        <w:rPr>
          <w:rFonts w:ascii="Times New Roman" w:hAnsi="Times New Roman" w:cs="Times New Roman"/>
          <w:b/>
        </w:rPr>
        <w:t>4</w:t>
      </w:r>
      <w:r w:rsidR="00763544" w:rsidRPr="004D1FB0">
        <w:rPr>
          <w:rFonts w:ascii="Times New Roman" w:hAnsi="Times New Roman" w:cs="Times New Roman"/>
          <w:b/>
        </w:rPr>
        <w:t xml:space="preserve"> </w:t>
      </w:r>
      <w:r w:rsidRPr="004D1FB0">
        <w:rPr>
          <w:rFonts w:ascii="Times New Roman" w:hAnsi="Times New Roman" w:cs="Times New Roman"/>
          <w:b/>
        </w:rPr>
        <w:t>от</w:t>
      </w:r>
      <w:r w:rsidR="00956507" w:rsidRPr="004D1FB0">
        <w:rPr>
          <w:rFonts w:ascii="Times New Roman" w:hAnsi="Times New Roman" w:cs="Times New Roman"/>
          <w:b/>
        </w:rPr>
        <w:t xml:space="preserve"> 22 июля </w:t>
      </w:r>
      <w:r w:rsidR="0029060B" w:rsidRPr="004D1FB0">
        <w:rPr>
          <w:rFonts w:ascii="Times New Roman" w:hAnsi="Times New Roman" w:cs="Times New Roman"/>
          <w:b/>
        </w:rPr>
        <w:t>2020</w:t>
      </w:r>
      <w:r w:rsidR="002E7CF7" w:rsidRPr="004D1FB0">
        <w:rPr>
          <w:rFonts w:ascii="Times New Roman" w:hAnsi="Times New Roman" w:cs="Times New Roman"/>
          <w:b/>
        </w:rPr>
        <w:t xml:space="preserve"> </w:t>
      </w:r>
      <w:r w:rsidRPr="004D1FB0">
        <w:rPr>
          <w:rFonts w:ascii="Times New Roman" w:hAnsi="Times New Roman" w:cs="Times New Roman"/>
          <w:b/>
        </w:rPr>
        <w:t>г.</w:t>
      </w:r>
    </w:p>
    <w:p w:rsidR="009E0B24" w:rsidRPr="004D1FB0" w:rsidRDefault="009E0B24" w:rsidP="005219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B24" w:rsidRPr="004D1FB0" w:rsidRDefault="00502865" w:rsidP="0052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B0">
        <w:rPr>
          <w:rFonts w:ascii="Times New Roman" w:hAnsi="Times New Roman" w:cs="Times New Roman"/>
          <w:b/>
          <w:sz w:val="28"/>
          <w:szCs w:val="28"/>
        </w:rPr>
        <w:t>Отчет об исполнении бюджета муниципального образования «Городской округ город Назрань» за 201</w:t>
      </w:r>
      <w:r w:rsidR="0029060B" w:rsidRPr="004D1FB0">
        <w:rPr>
          <w:rFonts w:ascii="Times New Roman" w:hAnsi="Times New Roman" w:cs="Times New Roman"/>
          <w:b/>
          <w:sz w:val="28"/>
          <w:szCs w:val="28"/>
        </w:rPr>
        <w:t>9</w:t>
      </w:r>
      <w:r w:rsidRPr="004D1FB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7"/>
        <w:gridCol w:w="1701"/>
        <w:gridCol w:w="1559"/>
        <w:gridCol w:w="1276"/>
      </w:tblGrid>
      <w:tr w:rsidR="0029060B" w:rsidRPr="004D1FB0" w:rsidTr="00E11508">
        <w:trPr>
          <w:trHeight w:val="8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исполнение</w:t>
            </w:r>
          </w:p>
        </w:tc>
      </w:tr>
      <w:tr w:rsidR="0029060B" w:rsidRPr="004D1FB0" w:rsidTr="00E11508">
        <w:trPr>
          <w:trHeight w:val="24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518364,2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98,30</w:t>
            </w:r>
          </w:p>
        </w:tc>
      </w:tr>
      <w:tr w:rsidR="0029060B" w:rsidRPr="004D1FB0" w:rsidTr="00E11508">
        <w:trPr>
          <w:trHeight w:val="21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29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340743,5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346710,6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101,75</w:t>
            </w:r>
          </w:p>
        </w:tc>
      </w:tr>
      <w:tr w:rsidR="0029060B" w:rsidRPr="004D1FB0" w:rsidTr="00E11508">
        <w:trPr>
          <w:trHeight w:val="26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30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2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236370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243198,5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102,89</w:t>
            </w:r>
          </w:p>
        </w:tc>
      </w:tr>
      <w:tr w:rsidR="0029060B" w:rsidRPr="004D1FB0" w:rsidTr="00E11508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совокупный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18957,5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17601,7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92,85</w:t>
            </w:r>
          </w:p>
        </w:tc>
      </w:tr>
      <w:tr w:rsidR="0029060B" w:rsidRPr="004D1FB0" w:rsidTr="00E11508">
        <w:trPr>
          <w:trHeight w:val="23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12731,4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99,66</w:t>
            </w:r>
          </w:p>
        </w:tc>
      </w:tr>
      <w:tr w:rsidR="0029060B" w:rsidRPr="004D1FB0" w:rsidTr="00E11508">
        <w:trPr>
          <w:trHeight w:val="20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27157,5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30234,5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111,33</w:t>
            </w:r>
          </w:p>
        </w:tc>
      </w:tr>
      <w:tr w:rsidR="0029060B" w:rsidRPr="004D1FB0" w:rsidTr="00E11508">
        <w:trPr>
          <w:trHeight w:val="19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21390,9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16466,3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76,98</w:t>
            </w:r>
          </w:p>
        </w:tc>
      </w:tr>
      <w:tr w:rsidR="0029060B" w:rsidRPr="004D1FB0" w:rsidTr="00E11508">
        <w:trPr>
          <w:trHeight w:val="45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 в </w:t>
            </w:r>
            <w:proofErr w:type="spellStart"/>
            <w:proofErr w:type="gramStart"/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2303,3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184,74</w:t>
            </w:r>
          </w:p>
        </w:tc>
      </w:tr>
      <w:tr w:rsidR="0029060B" w:rsidRPr="004D1FB0" w:rsidTr="00E11508">
        <w:trPr>
          <w:trHeight w:val="5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255,9 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63,66</w:t>
            </w:r>
          </w:p>
        </w:tc>
      </w:tr>
      <w:tr w:rsidR="0029060B" w:rsidRPr="004D1FB0" w:rsidTr="00E11508">
        <w:trPr>
          <w:trHeight w:val="5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(родительская плата)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166,91</w:t>
            </w:r>
          </w:p>
        </w:tc>
      </w:tr>
      <w:tr w:rsidR="0029060B" w:rsidRPr="004D1FB0" w:rsidTr="00E11508">
        <w:trPr>
          <w:trHeight w:val="20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7899,1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5491,9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69,53</w:t>
            </w:r>
          </w:p>
        </w:tc>
      </w:tr>
      <w:tr w:rsidR="0029060B" w:rsidRPr="004D1FB0" w:rsidTr="00E11508">
        <w:trPr>
          <w:trHeight w:val="1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налоговые и неналоговые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15533,3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20299,1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130,68</w:t>
            </w:r>
          </w:p>
        </w:tc>
      </w:tr>
      <w:tr w:rsidR="0029060B" w:rsidRPr="004D1FB0" w:rsidTr="00E11508">
        <w:trPr>
          <w:trHeight w:val="1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186579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171653,6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</w:tr>
      <w:tr w:rsidR="0029060B" w:rsidRPr="004D1FB0" w:rsidTr="00E11508">
        <w:trPr>
          <w:trHeight w:val="30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26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530053,1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508567,1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95,95</w:t>
            </w:r>
          </w:p>
        </w:tc>
      </w:tr>
      <w:tr w:rsidR="0029060B" w:rsidRPr="004D1FB0" w:rsidTr="00E11508">
        <w:trPr>
          <w:trHeight w:val="24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22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101103,8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100039,1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98,95</w:t>
            </w:r>
          </w:p>
        </w:tc>
      </w:tr>
      <w:tr w:rsidR="0029060B" w:rsidRPr="004D1FB0" w:rsidTr="00E11508">
        <w:trPr>
          <w:trHeight w:val="19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подготовка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1788,6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29060B" w:rsidRPr="004D1FB0" w:rsidTr="00E11508">
        <w:trPr>
          <w:trHeight w:val="18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93,83</w:t>
            </w:r>
          </w:p>
        </w:tc>
      </w:tr>
      <w:tr w:rsidR="0029060B" w:rsidRPr="004D1FB0" w:rsidTr="00E11508">
        <w:trPr>
          <w:trHeight w:val="18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161808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161802,8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29060B" w:rsidRPr="004D1FB0" w:rsidTr="00E11508">
        <w:trPr>
          <w:trHeight w:val="17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200256,4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182060,6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90,91</w:t>
            </w:r>
          </w:p>
        </w:tc>
      </w:tr>
      <w:tr w:rsidR="0029060B" w:rsidRPr="004D1FB0" w:rsidTr="00E11508">
        <w:trPr>
          <w:trHeight w:val="14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24348,4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93,17</w:t>
            </w:r>
          </w:p>
        </w:tc>
      </w:tr>
      <w:tr w:rsidR="0029060B" w:rsidRPr="004D1FB0" w:rsidTr="00E11508">
        <w:trPr>
          <w:trHeight w:val="2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23093,2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23082,4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99,95</w:t>
            </w:r>
          </w:p>
        </w:tc>
      </w:tr>
      <w:tr w:rsidR="0029060B" w:rsidRPr="004D1FB0" w:rsidTr="00E11508">
        <w:trPr>
          <w:trHeight w:val="24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11984,4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96,23</w:t>
            </w:r>
          </w:p>
        </w:tc>
      </w:tr>
      <w:tr w:rsidR="0029060B" w:rsidRPr="004D1FB0" w:rsidTr="00E11508">
        <w:trPr>
          <w:trHeight w:val="23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29060B" w:rsidRPr="004D1FB0" w:rsidTr="00E11508">
        <w:trPr>
          <w:trHeight w:val="20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19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17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дефицита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9060B" w:rsidRPr="004D1FB0" w:rsidTr="00E11508">
        <w:trPr>
          <w:trHeight w:val="2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sz w:val="24"/>
                <w:szCs w:val="24"/>
              </w:rPr>
              <w:t>Остатки денежных средств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933" w:rsidRPr="004D1FB0" w:rsidRDefault="00521933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FB0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9060B" w:rsidRPr="00755BCB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5BCB">
        <w:rPr>
          <w:rFonts w:ascii="Times New Roman" w:hAnsi="Times New Roman" w:cs="Times New Roman"/>
          <w:sz w:val="28"/>
          <w:szCs w:val="28"/>
        </w:rPr>
        <w:t>к отчету об исполнении бюджета муниципального образования «Городской округ г</w:t>
      </w:r>
      <w:proofErr w:type="gramStart"/>
      <w:r w:rsidRPr="00755B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55BCB">
        <w:rPr>
          <w:rFonts w:ascii="Times New Roman" w:hAnsi="Times New Roman" w:cs="Times New Roman"/>
          <w:sz w:val="28"/>
          <w:szCs w:val="28"/>
        </w:rPr>
        <w:t>азрань» за 2019г.</w:t>
      </w:r>
    </w:p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      Бюджет муниципального образования «Городской округ г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азрань» за 2019 г. был исполнен по доходам, с учетом безвозмездных перечислений из республиканского бюджета в сумме 518364,2 тыс. руб. или 98.3%  от годовых бюджетных назначений, по расходам исполнен в сумме 508567,1</w:t>
      </w:r>
      <w:r w:rsidRPr="004D1F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1FB0">
        <w:rPr>
          <w:rFonts w:ascii="Times New Roman" w:hAnsi="Times New Roman" w:cs="Times New Roman"/>
          <w:sz w:val="24"/>
          <w:szCs w:val="24"/>
        </w:rPr>
        <w:t>тыс. руб. Остатки на счетах на начало года 2730,6 тыс. руб.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Функционирование бюджета муниципального образования происходит за счет доходов и расходов.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Доходная часть служит финансовой базой деятельности муниципального образования, а расходная, в свою очередь необходима для удовлетворения  потребности  населения.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    Собственные доходы  бюджета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. Назрань (без учета безвозмездных поступлений из республиканского бюджета) за 2019</w:t>
      </w:r>
      <w:r w:rsidR="00521933" w:rsidRPr="004D1FB0">
        <w:rPr>
          <w:rFonts w:ascii="Times New Roman" w:hAnsi="Times New Roman" w:cs="Times New Roman"/>
          <w:sz w:val="24"/>
          <w:szCs w:val="24"/>
        </w:rPr>
        <w:t xml:space="preserve"> </w:t>
      </w:r>
      <w:r w:rsidRPr="004D1FB0">
        <w:rPr>
          <w:rFonts w:ascii="Times New Roman" w:hAnsi="Times New Roman" w:cs="Times New Roman"/>
          <w:sz w:val="24"/>
          <w:szCs w:val="24"/>
        </w:rPr>
        <w:t>г. составили  346710,6 тыс. руб., что составляет 101,75 % к годовым  назначениям и 68,2 % от общей суммы бюджета города на 2019</w:t>
      </w:r>
      <w:r w:rsidR="00521933" w:rsidRPr="004D1FB0">
        <w:rPr>
          <w:rFonts w:ascii="Times New Roman" w:hAnsi="Times New Roman" w:cs="Times New Roman"/>
          <w:sz w:val="24"/>
          <w:szCs w:val="24"/>
        </w:rPr>
        <w:t xml:space="preserve"> </w:t>
      </w:r>
      <w:r w:rsidRPr="004D1FB0">
        <w:rPr>
          <w:rFonts w:ascii="Times New Roman" w:hAnsi="Times New Roman" w:cs="Times New Roman"/>
          <w:sz w:val="24"/>
          <w:szCs w:val="24"/>
        </w:rPr>
        <w:t>год.</w:t>
      </w:r>
    </w:p>
    <w:p w:rsidR="0029060B" w:rsidRPr="004D1FB0" w:rsidRDefault="0029060B" w:rsidP="00521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          Безвозмездные перечисления из республиканского бюджета за  2019 г. составили 171653,6 тыс. руб. или 92 % от годовых назначений.</w:t>
      </w:r>
    </w:p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. Назрань формируется за счет налоговых и неналоговых доходов, а также за счет безвозмездных поступлений.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Анализ доходов бюджета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. Назрань за 2019год приведен в следующей таблице: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1559"/>
        <w:gridCol w:w="2551"/>
      </w:tblGrid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План на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Факт за  2019год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% исполнения по отношению е годовым назначениям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340743,5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346710,6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236370,0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243198,5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12731,4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18957,5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17601,7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27157,5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30234,5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21390,9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16466,3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76,98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 в </w:t>
            </w:r>
            <w:proofErr w:type="spellStart"/>
            <w:proofErr w:type="gramStart"/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2303,3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184,74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 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255,9 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sz w:val="24"/>
                <w:szCs w:val="24"/>
              </w:rPr>
              <w:t> 63,66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(родительская плата)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sz w:val="24"/>
                <w:szCs w:val="24"/>
              </w:rPr>
              <w:t>166,91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7899,1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5491,9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sz w:val="24"/>
                <w:szCs w:val="24"/>
              </w:rPr>
              <w:t>69,53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B" w:rsidRPr="004D1FB0" w:rsidRDefault="0029060B" w:rsidP="0052193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налоговые и неналоговые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15533,3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20299,1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sz w:val="24"/>
                <w:szCs w:val="24"/>
              </w:rPr>
              <w:t>130,68</w:t>
            </w:r>
          </w:p>
        </w:tc>
      </w:tr>
      <w:tr w:rsidR="0029060B" w:rsidRPr="004D1FB0" w:rsidTr="00E1150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proofErr w:type="gramStart"/>
            <w:r w:rsidRPr="004D1F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186579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171653,6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0B" w:rsidRPr="004D1FB0" w:rsidRDefault="0029060B" w:rsidP="00521933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B0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</w:tr>
    </w:tbl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Как видно из приведенного выше анализа, основным источником увеличения собственных доходов составляет НДФЛ, который составил 243198,5тыс.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, или 70 % от всей суммы собственных доходов.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lastRenderedPageBreak/>
        <w:t xml:space="preserve"> Кроме того, наблюдается рост поступлений по таким налогам как земельный налог, прочие налоговые и неналоговые поступления.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Увеличение поступлений собственных доходов в 2019году явилось результатом  проводимой Администрацией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. Назрань работы по выявлению скрытых резервов по увеличению налоговой базы.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Резервом к дальнейшему увеличению собственных доходов также является недоимка в бюджет г. Назрань, которая на 1 января 2020 года составляет 30155.0 тыс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уб.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Вместе с тем, в связи с ограниченностью бюджетных средств, бюджет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. Назрань в 2019году недофинансировали по субсидиям из республиканского бюджета.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Финансирование по субсидиям составило всего 66,9% от годовых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 и составили  118877 тыс. руб</w:t>
      </w:r>
      <w:r w:rsidR="00BF53EC" w:rsidRPr="004D1FB0">
        <w:rPr>
          <w:rFonts w:ascii="Times New Roman" w:hAnsi="Times New Roman" w:cs="Times New Roman"/>
          <w:sz w:val="24"/>
          <w:szCs w:val="24"/>
        </w:rPr>
        <w:t>.</w:t>
      </w:r>
      <w:r w:rsidRPr="004D1FB0">
        <w:rPr>
          <w:rFonts w:ascii="Times New Roman" w:hAnsi="Times New Roman" w:cs="Times New Roman"/>
          <w:sz w:val="24"/>
          <w:szCs w:val="24"/>
        </w:rPr>
        <w:t>, сумма недофинансирования составила 14456,5 тыс. руб.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Однако, несмотря на финансовые трудности, недофинансирование из республиканского бюджета, Администрации г. Назрань удалось сохранить бюджет г. Назрань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 и не допустить образования дефицита бюджета.</w:t>
      </w:r>
    </w:p>
    <w:p w:rsidR="0029060B" w:rsidRPr="004D1FB0" w:rsidRDefault="0029060B" w:rsidP="005219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1FB0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азрань»  за 2019г. исполнена в сумме 508567,1 тыс. руб. или 96 % от годовых бюджетных назначений.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На финансировании бюджета города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 Городской совет,  5 администраций, 2 учреждения дополнительного образования, 2 учреждения культуры, орган печати.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Штатная численность этих учреждений выглядит следующим образом: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Мэрия – 78 чел;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ЦАО – 28 чел;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ААО – 10 чел;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ГАО – 9 чел;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НКАО – 9 чел;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ЦБС – 33 единиц;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ДШИ – 45 единиц;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ДХШ- 52 единиц;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ГДК – 25 единиц;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Газета – 12 единиц.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Финансирование бюджетных расходов за 2019 год в разрезе разделов выглядит следующим образом: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Управление-100039,1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FB0">
        <w:rPr>
          <w:rFonts w:ascii="Times New Roman" w:hAnsi="Times New Roman" w:cs="Times New Roman"/>
          <w:sz w:val="24"/>
          <w:szCs w:val="24"/>
        </w:rPr>
        <w:t>Мобилизационная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 подготовка-1788,6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Жилищно-коммунальное хозяйство-182060,6 тыс. руб.;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Образование- 22684,8 тыс. руб.;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Культура-23082,4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FB0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 политика-11984,4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Дорожное хозяйство 161802,8тыс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уб.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Средства массовой информации -3960,0 тыс. руб.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По разделу «Управление» направлено 100039,1 тыс. руб., что составляет 98,9%  от годовых назначений.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По разделу «Мобилизационная подготовка» направлено 1788,6 тыс. руб., что составляет 100%  от годовых назначений.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направлено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182060,6 тыс. руб., что составляет 90,9%  от годовых назначений.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На мероприятия по благоустройству города направлено 182060,6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 xml:space="preserve">, на  уборку города направлено 43714тыс. руб., расходы на уличное освещение 4182,0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, расходы по программе «городская среда» - 25361,6 тыс. руб. расходы по программе «Переселение из аварийного жилого фонда» -2957,8 т.р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о линии МУП «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» направлено 16482,4 тыс.руб.;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По разделу «Образование» направлено 22684,8 тыс. руб. По данному разделу предусматривается финансирование учреждений дополнительного образования.</w:t>
      </w:r>
    </w:p>
    <w:p w:rsidR="0029060B" w:rsidRPr="004D1FB0" w:rsidRDefault="0029060B" w:rsidP="0052193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Финансирование по данному разделу составляет 93,2% от годовых бюджетных назначений;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lastRenderedPageBreak/>
        <w:t>По разделу «Культура» направлено 23082,4 тыс. руб. или 99,9% от годовых назначений. По данному разделу финансируется городской Дом культуры, централизованная библиотечная система;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направлено 11984,4 тыс. руб. или 96,2% от годовых бюджетных назначений, в том числе на выплату опекунских пособий направлено 10674,8 тыс. руб. На выплату материальной помощи малоимущим гражданам направлено 1310,0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  <w:r w:rsidRPr="004D1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По разделу «Другие общегосударственные расходы» финансируется муниципальные программы такие как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Профилактика терроризма – 499,6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200,0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Противодействие наркомании – 195,6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– 196,5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Праздничные мероприятия -3385,0 тыс. 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;</w:t>
      </w:r>
    </w:p>
    <w:p w:rsidR="0029060B" w:rsidRPr="004D1FB0" w:rsidRDefault="0029060B" w:rsidP="00521933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Физическая культура и спорт – 250 тыс. руб.</w:t>
      </w:r>
    </w:p>
    <w:p w:rsidR="0029060B" w:rsidRPr="004D1FB0" w:rsidRDefault="0029060B" w:rsidP="0052193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0B" w:rsidRPr="004D1FB0" w:rsidRDefault="00521933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За 2019</w:t>
      </w:r>
      <w:r w:rsidR="0029060B" w:rsidRPr="004D1FB0">
        <w:rPr>
          <w:rFonts w:ascii="Times New Roman" w:hAnsi="Times New Roman" w:cs="Times New Roman"/>
          <w:sz w:val="24"/>
          <w:szCs w:val="24"/>
        </w:rPr>
        <w:t xml:space="preserve"> г. по городу Назрань проведен огромный объем работ по благоустройству города, санитарной очистке улиц города, озеленения.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По линии МУП «</w:t>
      </w:r>
      <w:proofErr w:type="spellStart"/>
      <w:r w:rsidRPr="004D1FB0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4D1FB0">
        <w:rPr>
          <w:rFonts w:ascii="Times New Roman" w:hAnsi="Times New Roman" w:cs="Times New Roman"/>
          <w:sz w:val="24"/>
          <w:szCs w:val="24"/>
        </w:rPr>
        <w:t>» проведена  формовочная обрезка деревьев, посажено деревьев разных пород в количестве 1200 штук. Подготовлены цветники для посадки цветов. Посажены цветы в количестве 240000 штук.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Заменены водопроводы, заменены трансформаторы,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проложены линии электропередач, устройство дорог из ПГС, произведен ямочный ремонт, погашена кредиторская задолженность прошлых лет.</w:t>
      </w:r>
    </w:p>
    <w:p w:rsidR="0029060B" w:rsidRPr="004D1FB0" w:rsidRDefault="0029060B" w:rsidP="00521933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B0">
        <w:rPr>
          <w:rFonts w:ascii="Times New Roman" w:hAnsi="Times New Roman" w:cs="Times New Roman"/>
          <w:bCs/>
          <w:sz w:val="24"/>
          <w:szCs w:val="24"/>
        </w:rPr>
        <w:t xml:space="preserve">      Все работы Администрацией </w:t>
      </w:r>
      <w:proofErr w:type="gramStart"/>
      <w:r w:rsidRPr="004D1FB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29060B" w:rsidRPr="004D1FB0" w:rsidRDefault="0029060B" w:rsidP="005219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29060B" w:rsidRPr="004D1FB0" w:rsidRDefault="0029060B" w:rsidP="005219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bCs/>
          <w:sz w:val="24"/>
          <w:szCs w:val="24"/>
        </w:rPr>
        <w:t>Основные показатели, отражающие состояние уровня жизни</w:t>
      </w:r>
      <w:r w:rsidRPr="004D1FB0">
        <w:rPr>
          <w:rFonts w:ascii="Times New Roman" w:hAnsi="Times New Roman" w:cs="Times New Roman"/>
          <w:sz w:val="24"/>
          <w:szCs w:val="24"/>
        </w:rPr>
        <w:t xml:space="preserve"> </w:t>
      </w:r>
      <w:r w:rsidRPr="004D1FB0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4D1FB0">
        <w:rPr>
          <w:rFonts w:ascii="Times New Roman" w:hAnsi="Times New Roman" w:cs="Times New Roman"/>
          <w:sz w:val="24"/>
          <w:szCs w:val="24"/>
        </w:rPr>
        <w:t xml:space="preserve"> за 2019 год сохранили положительную динамику.</w:t>
      </w:r>
    </w:p>
    <w:p w:rsidR="0029060B" w:rsidRPr="004D1FB0" w:rsidRDefault="0029060B" w:rsidP="005219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 Долгов по заработной плате в учреждениях, финансируемых из местного бюджета, не имеется.</w:t>
      </w:r>
    </w:p>
    <w:p w:rsidR="0029060B" w:rsidRPr="004D1FB0" w:rsidRDefault="0029060B" w:rsidP="005219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B0">
        <w:rPr>
          <w:rFonts w:ascii="Times New Roman" w:hAnsi="Times New Roman" w:cs="Times New Roman"/>
          <w:bCs/>
          <w:sz w:val="24"/>
          <w:szCs w:val="24"/>
        </w:rPr>
        <w:t xml:space="preserve">В условиях продолжающегося финансового кризиса, недостаточностью финансовых средств, Администрации города удалось в 2019 г. не допустить разбалансировки бюджета города, сделать его бездефицитным. </w:t>
      </w:r>
    </w:p>
    <w:p w:rsidR="0029060B" w:rsidRPr="004D1FB0" w:rsidRDefault="0029060B" w:rsidP="00521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B0">
        <w:rPr>
          <w:rFonts w:ascii="Times New Roman" w:hAnsi="Times New Roman" w:cs="Times New Roman"/>
          <w:sz w:val="24"/>
          <w:szCs w:val="24"/>
        </w:rPr>
        <w:t xml:space="preserve">Таким образом, за 2019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4D1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1FB0">
        <w:rPr>
          <w:rFonts w:ascii="Times New Roman" w:hAnsi="Times New Roman" w:cs="Times New Roman"/>
          <w:sz w:val="24"/>
          <w:szCs w:val="24"/>
        </w:rPr>
        <w:t xml:space="preserve">. Назрань  удалось сохранить положительную динамику основных макроэкономических показателей. </w:t>
      </w:r>
    </w:p>
    <w:p w:rsidR="00EC4777" w:rsidRPr="004D1FB0" w:rsidRDefault="00EC4777" w:rsidP="005219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7" w:rsidRPr="004D1FB0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5E"/>
    <w:multiLevelType w:val="hybridMultilevel"/>
    <w:tmpl w:val="860A9C4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11A20"/>
    <w:rsid w:val="00027BF8"/>
    <w:rsid w:val="0004531D"/>
    <w:rsid w:val="0005730E"/>
    <w:rsid w:val="00077292"/>
    <w:rsid w:val="000D6893"/>
    <w:rsid w:val="000F6B1D"/>
    <w:rsid w:val="00113FA4"/>
    <w:rsid w:val="00117FA4"/>
    <w:rsid w:val="001316D4"/>
    <w:rsid w:val="001448D4"/>
    <w:rsid w:val="00165B6C"/>
    <w:rsid w:val="00170FCD"/>
    <w:rsid w:val="001E21C6"/>
    <w:rsid w:val="001E42D6"/>
    <w:rsid w:val="001F55EB"/>
    <w:rsid w:val="00250672"/>
    <w:rsid w:val="00280303"/>
    <w:rsid w:val="0029060B"/>
    <w:rsid w:val="002A3E83"/>
    <w:rsid w:val="002C4355"/>
    <w:rsid w:val="002E7CF7"/>
    <w:rsid w:val="002F676E"/>
    <w:rsid w:val="00347997"/>
    <w:rsid w:val="003520C2"/>
    <w:rsid w:val="00354712"/>
    <w:rsid w:val="003B13A3"/>
    <w:rsid w:val="00456BC9"/>
    <w:rsid w:val="004A364E"/>
    <w:rsid w:val="004D1FB0"/>
    <w:rsid w:val="00502865"/>
    <w:rsid w:val="00503BBA"/>
    <w:rsid w:val="0051194E"/>
    <w:rsid w:val="00521933"/>
    <w:rsid w:val="00546BCB"/>
    <w:rsid w:val="00556CF3"/>
    <w:rsid w:val="005C764E"/>
    <w:rsid w:val="005D0200"/>
    <w:rsid w:val="005F7F11"/>
    <w:rsid w:val="00633911"/>
    <w:rsid w:val="006B15D5"/>
    <w:rsid w:val="0072180B"/>
    <w:rsid w:val="007507C8"/>
    <w:rsid w:val="00755BCB"/>
    <w:rsid w:val="00763544"/>
    <w:rsid w:val="00766D8F"/>
    <w:rsid w:val="00793F29"/>
    <w:rsid w:val="00794269"/>
    <w:rsid w:val="007B68F0"/>
    <w:rsid w:val="007D7D86"/>
    <w:rsid w:val="0086381F"/>
    <w:rsid w:val="008A77CA"/>
    <w:rsid w:val="008E2777"/>
    <w:rsid w:val="00956507"/>
    <w:rsid w:val="00985304"/>
    <w:rsid w:val="009E0B24"/>
    <w:rsid w:val="009F112C"/>
    <w:rsid w:val="00A04373"/>
    <w:rsid w:val="00A242FB"/>
    <w:rsid w:val="00A77FE9"/>
    <w:rsid w:val="00A96814"/>
    <w:rsid w:val="00AC21A0"/>
    <w:rsid w:val="00B0169D"/>
    <w:rsid w:val="00B25CF9"/>
    <w:rsid w:val="00B969FD"/>
    <w:rsid w:val="00BB5206"/>
    <w:rsid w:val="00BD0F86"/>
    <w:rsid w:val="00BD73BB"/>
    <w:rsid w:val="00BE0788"/>
    <w:rsid w:val="00BF53EC"/>
    <w:rsid w:val="00C22406"/>
    <w:rsid w:val="00C25075"/>
    <w:rsid w:val="00C27308"/>
    <w:rsid w:val="00C53491"/>
    <w:rsid w:val="00C72ACA"/>
    <w:rsid w:val="00CB2349"/>
    <w:rsid w:val="00CE5245"/>
    <w:rsid w:val="00D304AB"/>
    <w:rsid w:val="00D65184"/>
    <w:rsid w:val="00DD5574"/>
    <w:rsid w:val="00DD707E"/>
    <w:rsid w:val="00DE4410"/>
    <w:rsid w:val="00DE730C"/>
    <w:rsid w:val="00DF5208"/>
    <w:rsid w:val="00E60F0E"/>
    <w:rsid w:val="00E65432"/>
    <w:rsid w:val="00E74E0D"/>
    <w:rsid w:val="00EA7C2F"/>
    <w:rsid w:val="00EC4777"/>
    <w:rsid w:val="00EE219E"/>
    <w:rsid w:val="00F5210E"/>
    <w:rsid w:val="00F55072"/>
    <w:rsid w:val="00F7376C"/>
    <w:rsid w:val="00F87BBD"/>
    <w:rsid w:val="00F906EB"/>
    <w:rsid w:val="00F95419"/>
    <w:rsid w:val="00F963AD"/>
    <w:rsid w:val="00FC55DB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48</cp:revision>
  <cp:lastPrinted>2020-07-22T07:31:00Z</cp:lastPrinted>
  <dcterms:created xsi:type="dcterms:W3CDTF">2016-04-26T06:26:00Z</dcterms:created>
  <dcterms:modified xsi:type="dcterms:W3CDTF">2020-07-23T06:06:00Z</dcterms:modified>
</cp:coreProperties>
</file>